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685230">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 xml:space="preserve">Posteriormente, se convocó el Comité Fiduciario Virtual No. 02 del Patrimonio Autónomo Findeter – MinInterior Banco de Proyectos 4.0, el cual fue programado para desarrollarse entre el viernes 19 de diciembre de 2025 a las 12:00 p. m. y el lunes 22 de diciembre de 2025 a las 5:00 p. m., con participación de los miembros de FINDETER y del Ministerio del Interior con derecho a voto mediante correo electrónico. La sesión se desarrolló como una continuación de las decisiones y lineamientos previamente aprobados en el Comité Fiduciario No. 01, especialmente en lo relacionado con </w:t>
      </w:r>
      <w:bookmarkStart w:id="1" w:name="_GoBack"/>
      <w:bookmarkEnd w:id="1"/>
      <w:r>
        <w:rPr>
          <w:rFonts w:hint="default" w:ascii="Calibri Light" w:hAnsi="Calibri Light" w:cs="Calibri Light"/>
          <w:sz w:val="20"/>
          <w:szCs w:val="20"/>
        </w:rPr>
        <w:t>la implementación operativa y administrativa del patrimonio autónomo y la ejecución de los convenios solidarios derivados del Contrato Interadministrativo 1773 de 2025.</w:t>
      </w:r>
    </w:p>
    <w:p w14:paraId="65B617DB">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Durante la sesión se verificó el quórum y se presentó a consideración del Comité una agenda enfocada principalmente en la aprobación de múltiples procesos de contratación directa requeridos para fortalecer la capacidad técnica, administrativa, jurídica y social del equipo encargado de la ejecución y seguimiento de los convenios solidarios. En ese sentido, se sometió a revisión y aprobación la recomendación de adjudicación de contratos de prestación de servicios profesionales y de apoyo a la gestión para distintos perfiles técnicos y operativos.</w:t>
      </w:r>
    </w:p>
    <w:p w14:paraId="2A75A3B6">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En materia de supervisión de convenios solidarios, el Comité evaluó y aprobó las recomendaciones de contratación directa para profesionales encargados de ejercer la supervisión en la ejecución de los convenios derivados del Contrato Interadministrativo 1773 de 2025. Dentro de estos procesos se incluyeron las postulaciones de Rafael Antonio Gómez Arellana, Hernando Stiven Monterroza Mercado, Alejandra Ibáñez Torres, Ángel Mario Reales Moreno, Jaime Eduardo Martínez González y José David Rodríguez Olmos, quienes fueron vinculados para apoyar las labores de supervisión y seguimiento contractual en diferentes regiones y componentes de ejecución.</w:t>
      </w:r>
    </w:p>
    <w:p w14:paraId="5CC5A652">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De igual manera, se revisaron y aprobaron contrataciones orientadas al fortalecimiento administrativo y operativo del patrimonio autónomo, entre ellas las correspondientes a Karen Tatiana Hernández Castillo y Fabián Alberto Vidal Roa, para brindar apoyo a la gestión administrativa en la ejecución de los convenios solidarios. Estas contrataciones estuvieron encaminadas a respaldar los procesos documentales, operativos y de soporte requeridos para el adecuado desarrollo de las actividades derivadas del contrato interadministrativo.</w:t>
      </w:r>
    </w:p>
    <w:p w14:paraId="5CD9041E">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En el componente social, el Comité analizó y aprobó la contratación de Beatriz Elena Patiño Acevedo y Norida Yazmín Rodríguez Quimbayo, quienes tendrían a cargo actividades de apoyo profesional relacionadas con el fortalecimiento social y el acompañamiento a la ejecución de los convenios solidarios. Estas vinculaciones buscaron reforzar el componente territorial y comunitario de los proyectos, en concordancia con el enfoque participativo y social del programa.</w:t>
      </w:r>
    </w:p>
    <w:p w14:paraId="1015EA75">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Asimismo, fueron revisadas y aprobadas varias contrataciones relacionadas con asesoría y acompañamiento jurídico, entre ellas las correspondientes a Francisco Guillermo Berdugo Rodríguez, Víctor Manuel Jiménez Hernández, Vadir Sain Aduen Ricardo y Castor de Jesús Benítez Narváez, quienes prestarían servicios profesionales de apoyo jurídico en la ejecución de los convenios solidarios. Estas contrataciones estuvieron dirigidas a fortalecer la revisión legal, el acompañamiento contractual y el seguimiento normativo de los procesos adelantados en el marco del patrimonio autónomo.</w:t>
      </w:r>
    </w:p>
    <w:p w14:paraId="34AEE658">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El Comité también estudió la contratación de Oscar Darío Durán Plata para prestar servicios profesionales orientados al seguimiento, control, asesoría y apoyo técnico de los convenios solidarios, así como la contratación de Giovany José Niño Hernández para brindar apoyo regional a la supervisión de dichos convenios. Adicionalmente, se aprobó la contratación de Carlos Julián Molano Muñoz para desarrollar actividades relacionadas con diseño gráfico, elaboración de piezas visuales e identidad corporativa asociada a los convenios solidarios derivados del Contrato Interadministrativo 1773 de 2025.</w:t>
      </w:r>
    </w:p>
    <w:p w14:paraId="4F82D18F">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Durante la sesión igualmente se dejó constancia de que, debido a la cuantía de los procesos contractuales presentados, los estudios previos y verificaciones correspondientes no requirieron ser sometidos a consideración del Comité de Contratación, conforme a lo dispuesto en la Circular Interna del 12 de marzo de 2025.</w:t>
      </w:r>
    </w:p>
    <w:p w14:paraId="7E443F3D">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Concluido el proceso de revisión y votación, los miembros del Comité Fiduciario con derecho a voto aprobaron las recomendaciones de contratación directa puestas a consideración, permitiendo así avanzar en la consolidación del equipo técnico, jurídico, administrativo y social requerido para la implementación, seguimiento y fortalecimiento operativo de los convenios solidarios ejecutados a través del Patrimonio Autónomo Findeter – MinInterior Banco de Proyectos 4.0.</w:t>
      </w:r>
    </w:p>
    <w:p w14:paraId="25CAE74E">
      <w:pPr>
        <w:rPr>
          <w:rFonts w:hint="default"/>
          <w:lang w:val="es-ES"/>
        </w:rPr>
      </w:pPr>
    </w:p>
    <w:sectPr>
      <w:headerReference r:id="rId3" w:type="default"/>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
      <w:tblpPr w:leftFromText="180" w:rightFromText="180" w:vertAnchor="text" w:horzAnchor="page" w:tblpX="1147" w:tblpY="-2"/>
      <w:tblOverlap w:val="never"/>
      <w:tblW w:w="1005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938"/>
      <w:gridCol w:w="8112"/>
    </w:tblGrid>
    <w:tr w14:paraId="26BD7EE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1938" w:type="dxa"/>
          <w:tcBorders>
            <w:top w:val="dotted" w:color="auto" w:sz="12" w:space="0"/>
            <w:left w:val="dotted" w:color="auto" w:sz="12" w:space="0"/>
            <w:bottom w:val="dotted" w:color="auto" w:sz="12" w:space="0"/>
            <w:right w:val="dotted" w:color="auto" w:sz="12" w:space="0"/>
          </w:tcBorders>
          <w:shd w:val="clear" w:color="auto" w:fill="FFFFFF"/>
          <w:vAlign w:val="center"/>
        </w:tcPr>
        <w:p w14:paraId="0DDE1935">
          <w:pPr>
            <w:jc w:val="center"/>
            <w:rPr>
              <w:b/>
              <w:color w:val="000000"/>
            </w:rPr>
          </w:pPr>
          <w:r>
            <w:drawing>
              <wp:anchor distT="0" distB="0" distL="114300" distR="114300" simplePos="0" relativeHeight="251659264" behindDoc="0" locked="0" layoutInCell="1" allowOverlap="1">
                <wp:simplePos x="0" y="0"/>
                <wp:positionH relativeFrom="column">
                  <wp:posOffset>104775</wp:posOffset>
                </wp:positionH>
                <wp:positionV relativeFrom="paragraph">
                  <wp:posOffset>-46355</wp:posOffset>
                </wp:positionV>
                <wp:extent cx="918845" cy="763270"/>
                <wp:effectExtent l="0" t="0" r="14605" b="17780"/>
                <wp:wrapNone/>
                <wp:docPr id="171203311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033116" name="drawing"/>
                        <pic:cNvPicPr>
                          <a:picLocks noChangeAspect="1"/>
                        </pic:cNvPicPr>
                      </pic:nvPicPr>
                      <pic:blipFill>
                        <a:blip r:embed="rId1"/>
                        <a:stretch>
                          <a:fillRect/>
                        </a:stretch>
                      </pic:blipFill>
                      <pic:spPr>
                        <a:xfrm>
                          <a:off x="0" y="0"/>
                          <a:ext cx="918845" cy="763270"/>
                        </a:xfrm>
                        <a:prstGeom prst="rect">
                          <a:avLst/>
                        </a:prstGeom>
                      </pic:spPr>
                    </pic:pic>
                  </a:graphicData>
                </a:graphic>
              </wp:anchor>
            </w:drawing>
          </w:r>
        </w:p>
        <w:p w14:paraId="6BB30C9F">
          <w:pPr>
            <w:jc w:val="center"/>
            <w:rPr>
              <w:rFonts w:ascii="Arial" w:hAnsi="Arial" w:eastAsia="Arial" w:cs="Arial"/>
              <w:b/>
              <w:color w:val="000000"/>
              <w:sz w:val="18"/>
              <w:szCs w:val="18"/>
            </w:rPr>
          </w:pPr>
        </w:p>
      </w:tc>
      <w:tc>
        <w:tcPr>
          <w:tcW w:w="8112" w:type="dxa"/>
          <w:tcBorders>
            <w:top w:val="dotted" w:color="auto" w:sz="12" w:space="0"/>
            <w:left w:val="dotted" w:color="auto" w:sz="12" w:space="0"/>
            <w:bottom w:val="dotted" w:color="auto" w:sz="12" w:space="0"/>
            <w:right w:val="dotted" w:color="auto" w:sz="12" w:space="0"/>
          </w:tcBorders>
          <w:shd w:val="clear" w:color="auto" w:fill="FFFFFF"/>
          <w:vAlign w:val="center"/>
        </w:tcPr>
        <w:p w14:paraId="28A68B03">
          <w:pPr>
            <w:spacing w:after="0"/>
            <w:jc w:val="center"/>
            <w:rPr>
              <w:rFonts w:hint="default" w:ascii="Arial" w:hAnsi="Arial" w:eastAsia="Arial" w:cs="Arial"/>
              <w:b/>
              <w:color w:val="000000"/>
              <w:sz w:val="16"/>
              <w:szCs w:val="16"/>
              <w:lang w:val="es-ES"/>
            </w:rPr>
          </w:pPr>
          <w:bookmarkStart w:id="0" w:name="_heading=h.1x0gk37" w:colFirst="0" w:colLast="0"/>
          <w:bookmarkEnd w:id="0"/>
          <w:r>
            <w:rPr>
              <w:rFonts w:hint="default" w:ascii="Arial" w:hAnsi="Arial" w:eastAsia="Arial" w:cs="Arial"/>
              <w:b/>
              <w:color w:val="000000"/>
              <w:sz w:val="16"/>
              <w:szCs w:val="16"/>
              <w:lang w:val="es-ES"/>
            </w:rPr>
            <w:t xml:space="preserve">RESUMEN </w:t>
          </w:r>
          <w:r>
            <w:rPr>
              <w:rFonts w:ascii="Arial" w:hAnsi="Arial" w:eastAsia="Arial" w:cs="Arial"/>
              <w:b/>
              <w:color w:val="000000"/>
              <w:sz w:val="16"/>
              <w:szCs w:val="16"/>
            </w:rPr>
            <w:t xml:space="preserve">COMITÉ FIDUCIARIO VIRTUAL No. </w:t>
          </w:r>
          <w:r>
            <w:rPr>
              <w:rFonts w:hint="default" w:ascii="Arial" w:hAnsi="Arial" w:eastAsia="Arial" w:cs="Arial"/>
              <w:b/>
              <w:color w:val="000000"/>
              <w:sz w:val="16"/>
              <w:szCs w:val="16"/>
              <w:lang w:val="es-ES"/>
            </w:rPr>
            <w:t>2</w:t>
          </w:r>
        </w:p>
        <w:p w14:paraId="113FCEC1">
          <w:pPr>
            <w:spacing w:after="0"/>
            <w:jc w:val="center"/>
            <w:rPr>
              <w:rFonts w:ascii="Arial" w:hAnsi="Arial" w:eastAsia="Arial" w:cs="Arial"/>
              <w:b/>
              <w:color w:val="000000"/>
              <w:sz w:val="16"/>
              <w:szCs w:val="16"/>
            </w:rPr>
          </w:pPr>
          <w:r>
            <w:rPr>
              <w:rFonts w:ascii="Arial" w:hAnsi="Arial" w:eastAsia="Arial" w:cs="Arial"/>
              <w:b/>
              <w:color w:val="000000"/>
              <w:sz w:val="16"/>
              <w:szCs w:val="16"/>
            </w:rPr>
            <w:t>PATRIMONIO AUTÓNOMO FINDETER MININTERIOR BANCO DE PROYECTOS 4.0. CONTRATO DE FIDUCIA MERCANTIL - 3-1-127578 DE 2025</w:t>
          </w:r>
        </w:p>
        <w:p w14:paraId="266ABE60">
          <w:pPr>
            <w:spacing w:after="0"/>
            <w:jc w:val="center"/>
            <w:rPr>
              <w:rFonts w:ascii="Arial" w:hAnsi="Arial" w:eastAsia="Arial" w:cs="Arial"/>
              <w:b/>
              <w:color w:val="000000"/>
              <w:sz w:val="16"/>
              <w:szCs w:val="16"/>
            </w:rPr>
          </w:pPr>
          <w:r>
            <w:rPr>
              <w:rFonts w:ascii="Arial" w:hAnsi="Arial" w:eastAsia="Arial" w:cs="Arial"/>
              <w:b/>
              <w:color w:val="000000"/>
              <w:sz w:val="16"/>
              <w:szCs w:val="16"/>
            </w:rPr>
            <w:t xml:space="preserve">CONTRATO INTERADMINISTRATIVO NO. 1773 DE 2025  </w:t>
          </w:r>
        </w:p>
        <w:p w14:paraId="7A88B7BC">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b/>
              <w:color w:val="000000"/>
              <w:sz w:val="14"/>
              <w:szCs w:val="14"/>
            </w:rPr>
          </w:pPr>
          <w:r>
            <w:rPr>
              <w:rFonts w:ascii="Arial" w:hAnsi="Arial" w:eastAsia="Arial" w:cs="Arial"/>
              <w:b/>
              <w:color w:val="000000"/>
              <w:sz w:val="14"/>
              <w:szCs w:val="14"/>
            </w:rPr>
            <w:t xml:space="preserve">FECHA: </w:t>
          </w:r>
          <w:r>
            <w:rPr>
              <w:rFonts w:hint="default" w:ascii="Arial" w:hAnsi="Arial" w:eastAsia="Arial" w:cs="Arial"/>
              <w:b/>
              <w:color w:val="000000"/>
              <w:sz w:val="14"/>
              <w:szCs w:val="14"/>
              <w:lang w:val="es-ES"/>
            </w:rPr>
            <w:t xml:space="preserve">19 DIC </w:t>
          </w:r>
          <w:r>
            <w:rPr>
              <w:rFonts w:ascii="Arial" w:hAnsi="Arial" w:eastAsia="Arial" w:cs="Arial"/>
              <w:b/>
              <w:color w:val="000000"/>
              <w:sz w:val="14"/>
              <w:szCs w:val="14"/>
            </w:rPr>
            <w:t>2025</w:t>
          </w:r>
          <w:r>
            <w:rPr>
              <w:rFonts w:hint="default" w:ascii="Arial" w:hAnsi="Arial" w:eastAsia="Arial" w:cs="Arial"/>
              <w:b/>
              <w:color w:val="000000"/>
              <w:sz w:val="14"/>
              <w:szCs w:val="14"/>
              <w:lang w:val="es-ES"/>
            </w:rPr>
            <w:t xml:space="preserve"> - 22 DIC 2025</w:t>
          </w:r>
          <w:r>
            <w:rPr>
              <w:rFonts w:ascii="Arial" w:hAnsi="Arial" w:eastAsia="Arial" w:cs="Arial"/>
              <w:b/>
              <w:color w:val="000000"/>
              <w:sz w:val="14"/>
              <w:szCs w:val="14"/>
            </w:rPr>
            <w:t xml:space="preserve">  </w:t>
          </w:r>
        </w:p>
        <w:p w14:paraId="741547E7">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b/>
              <w:color w:val="000000"/>
              <w:sz w:val="14"/>
              <w:szCs w:val="14"/>
            </w:rPr>
          </w:pPr>
          <w:r>
            <w:rPr>
              <w:rFonts w:ascii="Arial" w:hAnsi="Arial" w:eastAsia="Arial" w:cs="Arial"/>
              <w:b/>
              <w:color w:val="000000"/>
              <w:sz w:val="14"/>
              <w:szCs w:val="14"/>
            </w:rPr>
            <w:t xml:space="preserve">VERSIÓN: 1 </w:t>
          </w:r>
        </w:p>
        <w:p w14:paraId="7A94BDE1">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color w:val="000000"/>
              <w:sz w:val="18"/>
              <w:szCs w:val="18"/>
            </w:rPr>
          </w:pPr>
          <w:r>
            <w:rPr>
              <w:rFonts w:ascii="Arial" w:hAnsi="Arial" w:eastAsia="Arial" w:cs="Arial"/>
              <w:b/>
              <w:color w:val="000000"/>
              <w:sz w:val="14"/>
              <w:szCs w:val="14"/>
            </w:rPr>
            <w:t xml:space="preserve">PÁGINA: </w:t>
          </w:r>
          <w:r>
            <w:rPr>
              <w:rFonts w:ascii="Arial" w:hAnsi="Arial" w:eastAsia="Arial" w:cs="Arial"/>
              <w:b/>
              <w:color w:val="000000"/>
              <w:sz w:val="14"/>
              <w:szCs w:val="14"/>
            </w:rPr>
            <w:fldChar w:fldCharType="begin"/>
          </w:r>
          <w:r>
            <w:rPr>
              <w:rFonts w:ascii="Arial" w:hAnsi="Arial" w:eastAsia="Arial" w:cs="Arial"/>
              <w:b/>
              <w:color w:val="000000"/>
              <w:sz w:val="14"/>
              <w:szCs w:val="14"/>
            </w:rPr>
            <w:instrText xml:space="preserve">PAGE</w:instrText>
          </w:r>
          <w:r>
            <w:rPr>
              <w:rFonts w:ascii="Arial" w:hAnsi="Arial" w:eastAsia="Arial" w:cs="Arial"/>
              <w:b/>
              <w:color w:val="000000"/>
              <w:sz w:val="14"/>
              <w:szCs w:val="14"/>
            </w:rPr>
            <w:fldChar w:fldCharType="separate"/>
          </w:r>
          <w:r>
            <w:rPr>
              <w:rFonts w:ascii="Arial" w:hAnsi="Arial" w:eastAsia="Arial" w:cs="Arial"/>
              <w:b/>
              <w:color w:val="000000"/>
              <w:sz w:val="14"/>
              <w:szCs w:val="14"/>
            </w:rPr>
            <w:t>8</w:t>
          </w:r>
          <w:r>
            <w:rPr>
              <w:rFonts w:ascii="Arial" w:hAnsi="Arial" w:eastAsia="Arial" w:cs="Arial"/>
              <w:b/>
              <w:color w:val="000000"/>
              <w:sz w:val="14"/>
              <w:szCs w:val="14"/>
            </w:rPr>
            <w:fldChar w:fldCharType="end"/>
          </w:r>
          <w:r>
            <w:rPr>
              <w:rFonts w:ascii="Arial" w:hAnsi="Arial" w:eastAsia="Arial" w:cs="Arial"/>
              <w:b/>
              <w:color w:val="000000"/>
              <w:sz w:val="14"/>
              <w:szCs w:val="14"/>
            </w:rPr>
            <w:t xml:space="preserve"> de </w:t>
          </w:r>
          <w:r>
            <w:rPr>
              <w:rFonts w:ascii="Arial" w:hAnsi="Arial" w:eastAsia="Arial" w:cs="Arial"/>
              <w:b/>
              <w:color w:val="000000"/>
              <w:sz w:val="14"/>
              <w:szCs w:val="14"/>
            </w:rPr>
            <w:fldChar w:fldCharType="begin"/>
          </w:r>
          <w:r>
            <w:rPr>
              <w:rFonts w:ascii="Arial" w:hAnsi="Arial" w:eastAsia="Arial" w:cs="Arial"/>
              <w:b/>
              <w:color w:val="000000"/>
              <w:sz w:val="14"/>
              <w:szCs w:val="14"/>
            </w:rPr>
            <w:instrText xml:space="preserve">NUMPAGES</w:instrText>
          </w:r>
          <w:r>
            <w:rPr>
              <w:rFonts w:ascii="Arial" w:hAnsi="Arial" w:eastAsia="Arial" w:cs="Arial"/>
              <w:b/>
              <w:color w:val="000000"/>
              <w:sz w:val="14"/>
              <w:szCs w:val="14"/>
            </w:rPr>
            <w:fldChar w:fldCharType="separate"/>
          </w:r>
          <w:r>
            <w:rPr>
              <w:rFonts w:ascii="Arial" w:hAnsi="Arial" w:eastAsia="Arial" w:cs="Arial"/>
              <w:b/>
              <w:color w:val="000000"/>
              <w:sz w:val="14"/>
              <w:szCs w:val="14"/>
            </w:rPr>
            <w:t>40</w:t>
          </w:r>
          <w:r>
            <w:rPr>
              <w:rFonts w:ascii="Arial" w:hAnsi="Arial" w:eastAsia="Arial" w:cs="Arial"/>
              <w:b/>
              <w:color w:val="000000"/>
              <w:sz w:val="14"/>
              <w:szCs w:val="14"/>
            </w:rPr>
            <w:fldChar w:fldCharType="end"/>
          </w:r>
        </w:p>
      </w:tc>
    </w:tr>
  </w:tbl>
  <w:p w14:paraId="628BD1EC">
    <w:pPr>
      <w:pStyle w:val="4"/>
    </w:pPr>
  </w:p>
  <w:p w14:paraId="3C4D6F4F">
    <w:pPr>
      <w:pStyle w:val="4"/>
    </w:pPr>
  </w:p>
  <w:p w14:paraId="0162344F">
    <w:pPr>
      <w:pStyle w:val="4"/>
    </w:pPr>
  </w:p>
  <w:p w14:paraId="27CC8F89">
    <w:pPr>
      <w:pStyle w:val="4"/>
    </w:pPr>
  </w:p>
  <w:p w14:paraId="67FDE6DD">
    <w:pPr>
      <w:pStyle w:val="4"/>
    </w:pPr>
  </w:p>
  <w:p w14:paraId="69A433AF">
    <w:pPr>
      <w:pStyle w:val="4"/>
    </w:pPr>
  </w:p>
  <w:p w14:paraId="6B723136">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2B1515"/>
    <w:rsid w:val="01064F05"/>
    <w:rsid w:val="017137B2"/>
    <w:rsid w:val="26847937"/>
    <w:rsid w:val="2AAA3386"/>
    <w:rsid w:val="2F93020C"/>
    <w:rsid w:val="36894F05"/>
    <w:rsid w:val="412B1515"/>
    <w:rsid w:val="5D58493A"/>
    <w:rsid w:val="62EA5256"/>
    <w:rsid w:val="77B3663B"/>
    <w:rsid w:val="7DB13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pPr>
  </w:style>
  <w:style w:type="paragraph" w:styleId="5">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6">
    <w:name w:val="footer"/>
    <w:basedOn w:val="1"/>
    <w:qFormat/>
    <w:uiPriority w:val="0"/>
    <w:pPr>
      <w:tabs>
        <w:tab w:val="center" w:pos="4153"/>
        <w:tab w:val="right" w:pos="8306"/>
      </w:tabs>
    </w:pPr>
  </w:style>
  <w:style w:type="paragraph" w:customStyle="1" w:styleId="7">
    <w:name w:val="_Style 6"/>
    <w:basedOn w:val="1"/>
    <w:next w:val="1"/>
    <w:qFormat/>
    <w:uiPriority w:val="0"/>
    <w:pPr>
      <w:pBdr>
        <w:bottom w:val="single" w:color="auto" w:sz="6" w:space="1"/>
      </w:pBdr>
      <w:jc w:val="center"/>
    </w:pPr>
    <w:rPr>
      <w:rFonts w:ascii="Arial" w:eastAsia="SimSun"/>
      <w:vanish/>
      <w:sz w:val="16"/>
    </w:rPr>
  </w:style>
  <w:style w:type="paragraph" w:customStyle="1" w:styleId="8">
    <w:name w:val="_Style 7"/>
    <w:basedOn w:val="1"/>
    <w:next w:val="1"/>
    <w:qFormat/>
    <w:uiPriority w:val="0"/>
    <w:pPr>
      <w:pBdr>
        <w:top w:val="single" w:color="auto" w:sz="6" w:space="1"/>
      </w:pBdr>
      <w:jc w:val="center"/>
    </w:pPr>
    <w:rPr>
      <w:rFonts w:ascii="Arial" w:eastAsia="SimSun"/>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64</TotalTime>
  <ScaleCrop>false</ScaleCrop>
  <LinksUpToDate>false</LinksUpToDate>
  <CharactersWithSpaces>0</CharactersWithSpaces>
  <Application>WPS Office_12.2.0.23202_F1E327BC-269C-435d-A152-05C5408002CA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2026-05-07T23:59:00Z</dcterms:created>
  <dc:creator>laura carolina</dc:creator>
  <cp:lastModifiedBy>laura carolina</cp:lastModifiedBy>
  <dcterms:modified xsi:type="dcterms:W3CDTF">2026-05-11T00:19:56Z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3082-12.2.0.23202</vt:lpwstr>
  </property>
  <property fmtid="{D5CDD505-2E9C-101B-9397-08002B2CF9AE}" pid="3" name="ICV">
    <vt:lpwstr>428E7579F5EF47C0878B9F7B938821ED_13</vt:lpwstr>
  </property>
</Properties>
</file>